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00000" w:rsidRDefault="00AD11FA">
      <w:pPr>
        <w:ind w:right="1320"/>
        <w:jc w:val="both"/>
        <w:divId w:val="429620123"/>
      </w:pPr>
      <w:r>
        <w:rPr>
          <w:rFonts w:ascii="TurkmenAlfabe" w:hAnsi="TurkmenAlfabe"/>
          <w:b/>
          <w:bCs/>
          <w:sz w:val="26"/>
          <w:szCs w:val="26"/>
        </w:rPr>
        <w:t>Tarih :06.01.2005     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</w:p>
    <w:p w:rsidR="00000000" w:rsidRDefault="00AD11FA">
      <w:pPr>
        <w:ind w:right="1320"/>
        <w:jc w:val="both"/>
        <w:divId w:val="429620123"/>
      </w:pPr>
      <w:r>
        <w:rPr>
          <w:rFonts w:ascii="TurkmenAlfabe" w:hAnsi="TurkmenAlfabe"/>
          <w:b/>
          <w:bCs/>
          <w:sz w:val="26"/>
          <w:szCs w:val="26"/>
        </w:rPr>
        <w:t>Sayı 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:2005/23                                         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</w:p>
    <w:p w:rsidR="00000000" w:rsidRDefault="00AD11FA">
      <w:pPr>
        <w:ind w:right="1320"/>
        <w:jc w:val="both"/>
        <w:divId w:val="429620123"/>
      </w:pPr>
      <w:r>
        <w:rPr>
          <w:rFonts w:ascii="TurkmenAlfabe" w:hAnsi="TurkmenAlfabe"/>
          <w:b/>
          <w:bCs/>
          <w:sz w:val="26"/>
          <w:szCs w:val="26"/>
        </w:rPr>
        <w:t>Konu :Eğitim Bütçesi Hk.</w:t>
      </w:r>
    </w:p>
    <w:p w:rsidR="00000000" w:rsidRDefault="00AD11FA">
      <w:pPr>
        <w:ind w:right="1320"/>
        <w:jc w:val="both"/>
        <w:divId w:val="429620123"/>
      </w:pPr>
      <w:r>
        <w:rPr>
          <w:rFonts w:ascii="TurkmenAlfabe" w:hAnsi="TurkmenAlfabe"/>
          <w:b/>
          <w:bCs/>
          <w:sz w:val="26"/>
          <w:szCs w:val="26"/>
        </w:rPr>
        <w:t>  </w:t>
      </w:r>
    </w:p>
    <w:p w:rsidR="00000000" w:rsidRDefault="00AD11FA">
      <w:pPr>
        <w:ind w:right="1320"/>
        <w:jc w:val="both"/>
        <w:divId w:val="429620123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AD11FA">
      <w:pPr>
        <w:ind w:right="1320"/>
        <w:jc w:val="center"/>
        <w:divId w:val="429620123"/>
        <w:rPr>
          <w:color w:val="FF0000"/>
        </w:rPr>
      </w:pPr>
      <w:r>
        <w:rPr>
          <w:rFonts w:ascii="TurkmenAlfabe" w:hAnsi="TurkmenAlfabe"/>
          <w:b/>
          <w:bCs/>
          <w:color w:val="FF0000"/>
          <w:sz w:val="26"/>
          <w:szCs w:val="26"/>
        </w:rPr>
        <w:t>FEDERASYONA BAĞLI ODALARA</w:t>
      </w:r>
    </w:p>
    <w:p w:rsidR="00000000" w:rsidRDefault="00AD11FA">
      <w:pPr>
        <w:ind w:right="1320"/>
        <w:jc w:val="center"/>
        <w:divId w:val="429620123"/>
        <w:rPr>
          <w:color w:val="FF0000"/>
        </w:rPr>
      </w:pPr>
      <w:r>
        <w:rPr>
          <w:rFonts w:ascii="TurkmenAlfabe" w:hAnsi="TurkmenAlfabe"/>
          <w:b/>
          <w:bCs/>
          <w:color w:val="FF0000"/>
          <w:sz w:val="26"/>
          <w:szCs w:val="26"/>
        </w:rPr>
        <w:t>222 NOLU GENELGE</w:t>
      </w:r>
    </w:p>
    <w:p w:rsidR="00000000" w:rsidRDefault="00AD11FA">
      <w:pPr>
        <w:ind w:right="1320"/>
        <w:jc w:val="center"/>
        <w:divId w:val="429620123"/>
        <w:rPr>
          <w:color w:val="FF0000"/>
        </w:rPr>
      </w:pPr>
    </w:p>
    <w:p w:rsidR="00000000" w:rsidRDefault="00AD11FA">
      <w:pPr>
        <w:ind w:right="1320"/>
        <w:jc w:val="both"/>
        <w:divId w:val="429620123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AD11FA">
      <w:pPr>
        <w:ind w:right="1320"/>
        <w:jc w:val="both"/>
        <w:divId w:val="429620123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AD11FA">
      <w:pPr>
        <w:ind w:right="1320"/>
        <w:jc w:val="both"/>
        <w:divId w:val="429620123"/>
      </w:pPr>
      <w:r>
        <w:rPr>
          <w:rFonts w:ascii="TurkmenAlfabe" w:hAnsi="TurkmenAlfabe"/>
          <w:b/>
          <w:bCs/>
          <w:sz w:val="26"/>
          <w:szCs w:val="26"/>
        </w:rPr>
        <w:t xml:space="preserve">    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 xml:space="preserve">Bilindiği 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üzere; 507 sayılı Kanunun Ek 17. maddesi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gereğince,odalarımız yıllık gayri safi gelirlerinin %20’sini eğitim bütçesi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olarak ayırmaları ve bu bütçenin % 25’ini de Konfederasyonumuz bünyesinde kurulmuş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bulunan Esnaf ve Sanatkarların Mesleki Eğitimini Geliştirme ve Destekleme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Fonuna pay olarak aktar</w:t>
      </w:r>
      <w:r>
        <w:rPr>
          <w:rFonts w:ascii="TurkmenAlfabe" w:hAnsi="TurkmenAlfabe"/>
          <w:b/>
          <w:bCs/>
          <w:sz w:val="26"/>
          <w:szCs w:val="26"/>
        </w:rPr>
        <w:t>maları gerekmektedir.</w:t>
      </w:r>
    </w:p>
    <w:p w:rsidR="00000000" w:rsidRDefault="00AD11FA">
      <w:pPr>
        <w:ind w:right="1320"/>
        <w:jc w:val="both"/>
        <w:divId w:val="429620123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AD11FA">
      <w:pPr>
        <w:ind w:right="1320"/>
        <w:jc w:val="both"/>
        <w:divId w:val="429620123"/>
      </w:pPr>
      <w:r>
        <w:rPr>
          <w:rFonts w:ascii="TurkmenAlfabe" w:hAnsi="TurkmenAlfabe"/>
          <w:b/>
          <w:bCs/>
          <w:sz w:val="26"/>
          <w:szCs w:val="26"/>
        </w:rPr>
        <w:t>Bu doğrultuda Odalarımızın 2004 yılı eğitim bütçelerinin %25’lik kısmını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fon payı olarak ilgili hesaba aktarmaları hususunda Türkiye Esnaf ve Sanatkarları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Konfederasyonunun 24.12.2004 tarih ve 80 sayılıaçıklayıcı genelgesi ekte gönd</w:t>
      </w:r>
      <w:r>
        <w:rPr>
          <w:rFonts w:ascii="TurkmenAlfabe" w:hAnsi="TurkmenAlfabe"/>
          <w:b/>
          <w:bCs/>
          <w:sz w:val="26"/>
          <w:szCs w:val="26"/>
        </w:rPr>
        <w:t>erilmektedir.</w:t>
      </w:r>
    </w:p>
    <w:p w:rsidR="00000000" w:rsidRDefault="00AD11FA">
      <w:pPr>
        <w:ind w:right="1320"/>
        <w:jc w:val="both"/>
        <w:divId w:val="429620123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AD11FA">
      <w:pPr>
        <w:ind w:right="1320"/>
        <w:jc w:val="both"/>
        <w:divId w:val="429620123"/>
      </w:pPr>
      <w:r>
        <w:rPr>
          <w:rFonts w:ascii="TurkmenAlfabe" w:hAnsi="TurkmenAlfabe"/>
          <w:b/>
          <w:bCs/>
          <w:sz w:val="26"/>
          <w:szCs w:val="26"/>
        </w:rPr>
        <w:t>Gereği için bilgilerinize rica ederiz.</w:t>
      </w:r>
    </w:p>
    <w:p w:rsidR="00000000" w:rsidRDefault="00AD11FA">
      <w:pPr>
        <w:ind w:right="1320"/>
        <w:jc w:val="both"/>
        <w:divId w:val="429620123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AD11FA">
      <w:pPr>
        <w:ind w:right="1320"/>
        <w:jc w:val="both"/>
        <w:divId w:val="429620123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AD11FA">
      <w:pPr>
        <w:ind w:right="1320"/>
        <w:jc w:val="both"/>
        <w:divId w:val="429620123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AD11FA">
      <w:pPr>
        <w:ind w:right="1320"/>
        <w:jc w:val="both"/>
        <w:divId w:val="429620123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AD11FA">
      <w:pPr>
        <w:ind w:right="1320"/>
        <w:jc w:val="both"/>
        <w:divId w:val="429620123"/>
        <w:rPr>
          <w:rFonts w:ascii="TurkmenAlfabe" w:hAnsi="TurkmenAlfabe"/>
          <w:b/>
          <w:bCs/>
          <w:sz w:val="26"/>
          <w:szCs w:val="26"/>
        </w:rPr>
      </w:pPr>
      <w:r>
        <w:rPr>
          <w:rFonts w:ascii="TurkmenAlfabe" w:hAnsi="TurkmenAlfabe"/>
          <w:b/>
          <w:bCs/>
          <w:sz w:val="26"/>
          <w:szCs w:val="26"/>
        </w:rPr>
        <w:t xml:space="preserve">                   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Hidayet MANAVOĞLU 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 xml:space="preserve">                                    İbrahim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YÖNEL</w:t>
      </w:r>
    </w:p>
    <w:p w:rsidR="00000000" w:rsidRDefault="00AD11FA">
      <w:pPr>
        <w:ind w:right="1320"/>
        <w:jc w:val="both"/>
        <w:divId w:val="429620123"/>
      </w:pPr>
    </w:p>
    <w:p w:rsidR="00000000" w:rsidRDefault="00AD11FA">
      <w:pPr>
        <w:ind w:right="1320"/>
        <w:jc w:val="both"/>
        <w:divId w:val="429620123"/>
      </w:pPr>
      <w:r>
        <w:rPr>
          <w:rFonts w:ascii="TurkmenAlfabe" w:hAnsi="TurkmenAlfabe"/>
          <w:b/>
          <w:bCs/>
          <w:sz w:val="26"/>
          <w:szCs w:val="26"/>
        </w:rPr>
        <w:t xml:space="preserve">                    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GENEL SEKRETER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 xml:space="preserve">                                         BAŞKAN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VEKİLİ</w:t>
      </w:r>
    </w:p>
    <w:p w:rsidR="00000000" w:rsidRDefault="00AD11FA">
      <w:pPr>
        <w:ind w:right="1320"/>
        <w:jc w:val="both"/>
        <w:divId w:val="429620123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AD11FA">
      <w:pPr>
        <w:ind w:right="1320"/>
        <w:jc w:val="both"/>
        <w:divId w:val="429620123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AD11FA">
      <w:pPr>
        <w:ind w:right="1320"/>
        <w:jc w:val="both"/>
        <w:divId w:val="429620123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AD11FA">
      <w:pPr>
        <w:ind w:right="1320"/>
        <w:jc w:val="both"/>
        <w:divId w:val="429620123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AD11FA">
      <w:pPr>
        <w:ind w:right="1320"/>
        <w:jc w:val="both"/>
        <w:divId w:val="429620123"/>
        <w:rPr>
          <w:color w:val="FF0000"/>
        </w:rPr>
      </w:pPr>
      <w:r>
        <w:rPr>
          <w:rFonts w:ascii="TurkmenAlfabe" w:hAnsi="TurkmenAlfabe"/>
          <w:b/>
          <w:bCs/>
          <w:color w:val="FF0000"/>
          <w:sz w:val="26"/>
          <w:szCs w:val="26"/>
        </w:rPr>
        <w:t xml:space="preserve">E K </w:t>
      </w:r>
      <w:r>
        <w:rPr>
          <w:rFonts w:ascii="TurkmenAlfabe" w:hAnsi="TurkmenAlfabe"/>
          <w:b/>
          <w:bCs/>
          <w:color w:val="FF0000"/>
          <w:sz w:val="26"/>
          <w:szCs w:val="26"/>
        </w:rPr>
        <w:t>İ :</w:t>
      </w:r>
    </w:p>
    <w:p w:rsidR="00000000" w:rsidRDefault="00AD11FA">
      <w:pPr>
        <w:ind w:right="1320"/>
        <w:jc w:val="both"/>
        <w:divId w:val="429620123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AD11FA">
      <w:pPr>
        <w:ind w:right="1320"/>
        <w:jc w:val="both"/>
        <w:divId w:val="429620123"/>
      </w:pPr>
      <w:r>
        <w:rPr>
          <w:rFonts w:ascii="TurkmenAlfabe" w:hAnsi="TurkmenAlfabe"/>
          <w:b/>
          <w:bCs/>
          <w:sz w:val="26"/>
          <w:szCs w:val="26"/>
        </w:rPr>
        <w:t>6 sayfa TESK. Genelgesi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</w:p>
    <w:p w:rsidR="00000000" w:rsidRDefault="00AD11FA">
      <w:pPr>
        <w:ind w:right="1320"/>
        <w:jc w:val="both"/>
        <w:divId w:val="429620123"/>
      </w:pPr>
      <w:r>
        <w:rPr>
          <w:rFonts w:ascii="TurkmenAlfabe" w:hAnsi="TurkmenAlfabe"/>
          <w:b/>
          <w:bCs/>
          <w:sz w:val="26"/>
          <w:szCs w:val="26"/>
        </w:rPr>
        <w:t>veekleri</w:t>
      </w:r>
    </w:p>
    <w:p w:rsidR="00000000" w:rsidRDefault="00AD11FA">
      <w:pPr>
        <w:ind w:right="1320"/>
        <w:jc w:val="both"/>
        <w:divId w:val="429620123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AD11FA">
      <w:pPr>
        <w:ind w:right="1320"/>
        <w:jc w:val="both"/>
        <w:divId w:val="429620123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AD11FA" w:rsidRDefault="00AD11FA">
      <w:pPr>
        <w:ind w:right="1320"/>
        <w:jc w:val="both"/>
        <w:divId w:val="429620123"/>
      </w:pPr>
      <w:r>
        <w:t> </w:t>
      </w:r>
    </w:p>
    <w:sectPr w:rsidR="00AD11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imes">
    <w:altName w:val="Times New Roman"/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urkmenAlfabe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Geneva"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20"/>
  <w:hyphenationZone w:val="425"/>
  <w:noPunctuationKerning/>
  <w:characterSpacingControl w:val="doNotCompress"/>
  <w:compat/>
  <w:rsids>
    <w:rsidRoot w:val="0025749B"/>
    <w:rsid w:val="0025749B"/>
    <w:rsid w:val="00AD1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" w:hAnsi="Times"/>
      <w:sz w:val="24"/>
      <w:szCs w:val="24"/>
    </w:rPr>
  </w:style>
  <w:style w:type="paragraph" w:styleId="Balk1">
    <w:name w:val="heading 1"/>
    <w:basedOn w:val="Normal"/>
    <w:link w:val="Balk1Char"/>
    <w:uiPriority w:val="9"/>
    <w:qFormat/>
    <w:pPr>
      <w:jc w:val="center"/>
      <w:outlineLvl w:val="0"/>
    </w:pPr>
    <w:rPr>
      <w:rFonts w:ascii="TurkmenAlfabe" w:eastAsiaTheme="minorEastAsia" w:hAnsi="TurkmenAlfabe"/>
      <w:kern w:val="36"/>
      <w:sz w:val="28"/>
      <w:szCs w:val="28"/>
    </w:rPr>
  </w:style>
  <w:style w:type="paragraph" w:styleId="Balk2">
    <w:name w:val="heading 2"/>
    <w:basedOn w:val="Normal"/>
    <w:link w:val="Balk2Char"/>
    <w:uiPriority w:val="9"/>
    <w:qFormat/>
    <w:pPr>
      <w:jc w:val="center"/>
      <w:outlineLvl w:val="1"/>
    </w:pPr>
    <w:rPr>
      <w:rFonts w:ascii="Arial" w:eastAsiaTheme="minorEastAsia" w:hAnsi="Arial" w:cs="Arial"/>
      <w:b/>
      <w:bCs/>
      <w:sz w:val="26"/>
      <w:szCs w:val="26"/>
    </w:rPr>
  </w:style>
  <w:style w:type="paragraph" w:styleId="Balk3">
    <w:name w:val="heading 3"/>
    <w:basedOn w:val="Normal"/>
    <w:link w:val="Balk3Char"/>
    <w:uiPriority w:val="9"/>
    <w:qFormat/>
    <w:pPr>
      <w:outlineLvl w:val="2"/>
    </w:pPr>
    <w:rPr>
      <w:rFonts w:ascii="TurkmenAlfabe" w:eastAsiaTheme="minorEastAsia" w:hAnsi="TurkmenAlfabe"/>
      <w:b/>
      <w:bCs/>
      <w:sz w:val="26"/>
      <w:szCs w:val="26"/>
    </w:rPr>
  </w:style>
  <w:style w:type="paragraph" w:styleId="Balk4">
    <w:name w:val="heading 4"/>
    <w:basedOn w:val="Normal"/>
    <w:link w:val="Balk4Char"/>
    <w:uiPriority w:val="9"/>
    <w:qFormat/>
    <w:pPr>
      <w:ind w:left="2268" w:hanging="2410"/>
      <w:outlineLvl w:val="3"/>
    </w:pPr>
    <w:rPr>
      <w:rFonts w:ascii="TurkmenAlfabe" w:eastAsiaTheme="minorEastAsia" w:hAnsi="TurkmenAlfabe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pPr>
      <w:tabs>
        <w:tab w:val="center" w:pos="4153"/>
        <w:tab w:val="right" w:pos="8306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Pr>
      <w:rFonts w:ascii="Times" w:hAnsi="Times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pPr>
      <w:tabs>
        <w:tab w:val="center" w:pos="4153"/>
        <w:tab w:val="right" w:pos="8306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Pr>
      <w:rFonts w:ascii="Times" w:hAnsi="Times"/>
      <w:sz w:val="24"/>
      <w:szCs w:val="24"/>
    </w:rPr>
  </w:style>
  <w:style w:type="paragraph" w:customStyle="1" w:styleId="msottle">
    <w:name w:val="msotıtle"/>
    <w:basedOn w:val="Normal"/>
    <w:pPr>
      <w:jc w:val="center"/>
    </w:pPr>
    <w:rPr>
      <w:rFonts w:ascii="TurkmenAlfabe" w:hAnsi="TurkmenAlfabe"/>
      <w:b/>
      <w:bCs/>
      <w:sz w:val="26"/>
      <w:szCs w:val="26"/>
    </w:rPr>
  </w:style>
  <w:style w:type="paragraph" w:styleId="GvdeMetni">
    <w:name w:val="Body Text"/>
    <w:basedOn w:val="Normal"/>
    <w:link w:val="GvdeMetniChar"/>
    <w:uiPriority w:val="99"/>
    <w:semiHidden/>
    <w:unhideWhenUsed/>
    <w:rPr>
      <w:rFonts w:ascii="TurkmenAlfabe" w:hAnsi="TurkmenAlfabe"/>
      <w:sz w:val="26"/>
      <w:szCs w:val="26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Pr>
      <w:rFonts w:ascii="Times" w:hAnsi="Times"/>
      <w:sz w:val="24"/>
      <w:szCs w:val="24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pPr>
      <w:tabs>
        <w:tab w:val="left" w:pos="1985"/>
        <w:tab w:val="left" w:pos="2268"/>
      </w:tabs>
      <w:ind w:left="2268" w:hanging="2268"/>
    </w:pPr>
    <w:rPr>
      <w:rFonts w:ascii="TurkmenAlfabe" w:hAnsi="TurkmenAlfabe"/>
      <w:sz w:val="26"/>
      <w:szCs w:val="26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Pr>
      <w:rFonts w:ascii="Times" w:hAnsi="Times"/>
      <w:sz w:val="24"/>
      <w:szCs w:val="24"/>
    </w:rPr>
  </w:style>
  <w:style w:type="paragraph" w:styleId="GvdeMetni2">
    <w:name w:val="Body Text 2"/>
    <w:basedOn w:val="Normal"/>
    <w:link w:val="GvdeMetni2Char"/>
    <w:uiPriority w:val="99"/>
    <w:semiHidden/>
    <w:unhideWhenUsed/>
    <w:rPr>
      <w:rFonts w:ascii="TurkmenAlfabe" w:hAnsi="TurkmenAlfabe"/>
      <w:b/>
      <w:bCs/>
      <w:sz w:val="26"/>
      <w:szCs w:val="26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rPr>
      <w:rFonts w:ascii="Times" w:hAnsi="Times"/>
      <w:sz w:val="24"/>
      <w:szCs w:val="24"/>
    </w:rPr>
  </w:style>
  <w:style w:type="paragraph" w:styleId="GvdeMetniGirintisi2">
    <w:name w:val="Body Text Indent 2"/>
    <w:basedOn w:val="Normal"/>
    <w:link w:val="GvdeMetniGirintisi2Char"/>
    <w:uiPriority w:val="99"/>
    <w:semiHidden/>
    <w:unhideWhenUsed/>
    <w:pPr>
      <w:ind w:left="5760"/>
    </w:pPr>
    <w:rPr>
      <w:rFonts w:ascii="TurkmenAlfabe" w:hAnsi="TurkmenAlfabe"/>
      <w:b/>
      <w:bCs/>
      <w:sz w:val="26"/>
      <w:szCs w:val="2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semiHidden/>
    <w:rPr>
      <w:rFonts w:ascii="Times" w:hAnsi="Times"/>
      <w:sz w:val="24"/>
      <w:szCs w:val="24"/>
    </w:rPr>
  </w:style>
  <w:style w:type="paragraph" w:styleId="bekMetni">
    <w:name w:val="Block Text"/>
    <w:basedOn w:val="Normal"/>
    <w:uiPriority w:val="99"/>
    <w:semiHidden/>
    <w:unhideWhenUsed/>
    <w:pPr>
      <w:ind w:left="-567" w:right="-766" w:firstLine="709"/>
      <w:jc w:val="both"/>
    </w:pPr>
    <w:rPr>
      <w:rFonts w:ascii="TurkmenAlfabe" w:hAnsi="TurkmenAlfabe"/>
    </w:rPr>
  </w:style>
  <w:style w:type="paragraph" w:styleId="BelgeBalantlar">
    <w:name w:val="Document Map"/>
    <w:basedOn w:val="Normal"/>
    <w:link w:val="BelgeBalantlarChar"/>
    <w:uiPriority w:val="99"/>
    <w:semiHidden/>
    <w:unhideWhenUsed/>
    <w:pPr>
      <w:shd w:val="clear" w:color="auto" w:fill="000080"/>
    </w:pPr>
    <w:rPr>
      <w:rFonts w:ascii="Geneva" w:hAnsi="Geneva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620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877</Characters>
  <Application>Microsoft Office Word</Application>
  <DocSecurity>0</DocSecurity>
  <Lines>7</Lines>
  <Paragraphs>2</Paragraphs>
  <ScaleCrop>false</ScaleCrop>
  <Company>TOSHIBA</Company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: 1602</dc:title>
  <dc:creator>naci özdemir</dc:creator>
  <cp:lastModifiedBy>naci özdemir</cp:lastModifiedBy>
  <cp:revision>2</cp:revision>
  <dcterms:created xsi:type="dcterms:W3CDTF">2010-05-24T11:20:00Z</dcterms:created>
  <dcterms:modified xsi:type="dcterms:W3CDTF">2010-05-24T11:20:00Z</dcterms:modified>
</cp:coreProperties>
</file>