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Tarih: 05/01/2005</w:t>
      </w:r>
    </w:p>
    <w:p w:rsidR="00000000" w:rsidRDefault="00611A49">
      <w:pPr>
        <w:ind w:right="1320"/>
        <w:jc w:val="both"/>
        <w:divId w:val="361053694"/>
        <w:rPr>
          <w:rFonts w:ascii="TurkmenAlfabe" w:hAnsi="TurkmenAlfabe"/>
          <w:b/>
          <w:bCs/>
          <w:sz w:val="26"/>
          <w:szCs w:val="26"/>
        </w:rPr>
      </w:pPr>
      <w:r>
        <w:rPr>
          <w:rFonts w:ascii="TurkmenAlfabe" w:hAnsi="TurkmenAlfabe"/>
          <w:b/>
          <w:bCs/>
          <w:sz w:val="26"/>
          <w:szCs w:val="26"/>
        </w:rPr>
        <w:t>Sayı : 2005/17</w:t>
      </w:r>
    </w:p>
    <w:p w:rsidR="00000000" w:rsidRDefault="00611A49">
      <w:pPr>
        <w:ind w:right="1320"/>
        <w:jc w:val="both"/>
        <w:divId w:val="361053694"/>
      </w:pPr>
    </w:p>
    <w:p w:rsidR="00000000" w:rsidRDefault="00611A49">
      <w:pPr>
        <w:ind w:right="1320"/>
        <w:jc w:val="center"/>
        <w:divId w:val="361053694"/>
        <w:rPr>
          <w:rFonts w:ascii="TurkmenAlfabe" w:hAnsi="TurkmenAlfabe"/>
          <w:b/>
          <w:bCs/>
          <w:color w:val="FF0000"/>
          <w:sz w:val="26"/>
          <w:szCs w:val="26"/>
        </w:rPr>
      </w:pPr>
      <w:r>
        <w:rPr>
          <w:rFonts w:ascii="TurkmenAlfabe" w:hAnsi="TurkmenAlfabe"/>
          <w:b/>
          <w:bCs/>
          <w:color w:val="FF0000"/>
          <w:sz w:val="26"/>
          <w:szCs w:val="26"/>
        </w:rPr>
        <w:t>FEDERASYONA BAĞLI ODALARA</w:t>
      </w:r>
    </w:p>
    <w:p w:rsidR="00000000" w:rsidRDefault="00611A49">
      <w:pPr>
        <w:ind w:right="1320"/>
        <w:jc w:val="center"/>
        <w:divId w:val="361053694"/>
        <w:rPr>
          <w:color w:val="FF0000"/>
        </w:rPr>
      </w:pPr>
    </w:p>
    <w:p w:rsidR="00000000" w:rsidRDefault="00611A49">
      <w:pPr>
        <w:pStyle w:val="Balk5"/>
        <w:jc w:val="center"/>
        <w:divId w:val="361053694"/>
        <w:rPr>
          <w:rFonts w:ascii="Times" w:eastAsia="Times New Roman" w:hAnsi="Times" w:cs="Times"/>
          <w:color w:val="FF0000"/>
        </w:rPr>
      </w:pPr>
      <w:r>
        <w:rPr>
          <w:rFonts w:eastAsia="Times New Roman"/>
          <w:color w:val="FF0000"/>
        </w:rPr>
        <w:t>220 NOLU</w:t>
      </w:r>
      <w:r>
        <w:rPr>
          <w:rFonts w:eastAsia="Times New Roman"/>
          <w:color w:val="FF0000"/>
        </w:rPr>
        <w:t xml:space="preserve"> </w:t>
      </w:r>
      <w:r>
        <w:rPr>
          <w:rFonts w:eastAsia="Times New Roman"/>
          <w:color w:val="FF0000"/>
        </w:rPr>
        <w:t>GENELGE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İlgi: 15.12.2004 gün, 3821 sayı ve 211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nolu genelgemiz.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İlgide kayıtlı genelgemizde, Ulaştırma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Bakanlığınca, Karayolu Taşıma Yönetmeliğinde yapılan değişikliğin 15 Aralık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2004 ve 25671sayılı Resmi Gazete’de yayımlanarak yürürlüğe girdiği belirtilmiş,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K türü yetki belgeleri ücretlerinde indirim yapıldığı belirtilmiş, değişikliklerle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ilgili geniş bilg</w:t>
      </w:r>
      <w:r>
        <w:rPr>
          <w:rFonts w:ascii="TurkmenAlfabe" w:hAnsi="TurkmenAlfabe"/>
          <w:b/>
          <w:bCs/>
          <w:sz w:val="26"/>
          <w:szCs w:val="26"/>
        </w:rPr>
        <w:t>ilerin bilahare verileceği belirtilmiş idi.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Sözkonusu değişikliklerden şoför ve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nakliyeci esnafımızı yakından ilgilendiren hususlar aşağıda belirtilmiştir.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1-Karayolu Taşıma Yönetmeliğinin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2.maddesinin 3.fıkrasında yapılan değişiklik ile </w:t>
      </w:r>
      <w:r>
        <w:rPr>
          <w:rFonts w:ascii="TurkmenAlfabe" w:hAnsi="TurkmenAlfabe"/>
          <w:b/>
          <w:bCs/>
          <w:sz w:val="26"/>
          <w:szCs w:val="26"/>
        </w:rPr>
        <w:t>mesafesine bakılmaksızın il sınırları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içinde yapılan yolcu taşımalarıyla 100 kilometreye kadar olan şehirlerarası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yolcu taşımaları Yönetmelik kapsamı dışında tutulmuş, bunlar için Bakanlıkça çıkarılacak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Yönetmelik yürürlüğe girinceye kadar İl veya İlçe Tra</w:t>
      </w:r>
      <w:r>
        <w:rPr>
          <w:rFonts w:ascii="TurkmenAlfabe" w:hAnsi="TurkmenAlfabe"/>
          <w:b/>
          <w:bCs/>
          <w:sz w:val="26"/>
          <w:szCs w:val="26"/>
        </w:rPr>
        <w:t>fik Komisyonları ile işbirliği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yapılmak suretiyle Valiliklerce, belediye sınırları ile mücavir alanları içindeki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şehir içi yolcu taşımaları da İl ve İlçe Trafik Komisyonlarıyla işbirliği yapılmak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suretiyle Belediyelerce düzenleneceği hükme bağlanmıştır.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2-Yönetmeliğin 60.maddesinde yapılan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değişiklik ile yolcu taşımacılığında çalışacak otobüs şoförlerinin 26 yaşından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günalmış ve 63 yaşından gün almamış, eşya ve kargo taşımacılığında çalışacak şoförlerin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63 yaşından gün almamış olmaları şartı getiri</w:t>
      </w:r>
      <w:r>
        <w:rPr>
          <w:rFonts w:ascii="TurkmenAlfabe" w:hAnsi="TurkmenAlfabe"/>
          <w:b/>
          <w:bCs/>
          <w:sz w:val="26"/>
          <w:szCs w:val="26"/>
        </w:rPr>
        <w:t>lmiştir.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3-Yönetmeliğe eklenen Geçici 11.madde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ile kendi esas iştigal konusu ile ilgili olmak kaydıyla; il sınırları dahilinde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yapılan eşya taşımalarıyla belediye sınırları ve mücavir alanı içinde yapılan şehir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içi eşya taşımalarında kullanılan ve</w:t>
      </w:r>
      <w:r>
        <w:rPr>
          <w:rFonts w:ascii="TurkmenAlfabe" w:hAnsi="TurkmenAlfabe"/>
          <w:b/>
          <w:bCs/>
          <w:sz w:val="26"/>
          <w:szCs w:val="26"/>
        </w:rPr>
        <w:t xml:space="preserve"> toplam yüklü ağırlığı 3,5 tonu geçmeyen taşıtlarla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yapılan taşımalar için 25/02/2007 tarihine kadar yetki belgesi alma şartı aranmaz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hükmü getirilmiştir.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4-Ulaştırma Bakanlığınca yeniden hazırlanan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ve Ulaştırma Bölge Müdürlüğüne gönderilen Karayo</w:t>
      </w:r>
      <w:r>
        <w:rPr>
          <w:rFonts w:ascii="TurkmenAlfabe" w:hAnsi="TurkmenAlfabe"/>
          <w:b/>
          <w:bCs/>
          <w:sz w:val="26"/>
          <w:szCs w:val="26"/>
        </w:rPr>
        <w:t>lu Taşıma Yönetmeliği Uygulama Talimatının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8.maddesinde, 25/02/2004 tarihinden önce yolcutaşımalarında kullanılan taşıtlarda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şoför olarak çalışanlar durumlarını belgelemeleri halinde, tahsil şartından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muaf tutulmuşlardır.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Yukarıda açıklanan hususl</w:t>
      </w:r>
      <w:r>
        <w:rPr>
          <w:rFonts w:ascii="TurkmenAlfabe" w:hAnsi="TurkmenAlfabe"/>
          <w:b/>
          <w:bCs/>
          <w:sz w:val="26"/>
          <w:szCs w:val="26"/>
        </w:rPr>
        <w:t>arın odalarınız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üyelerine duyurulmasını ve kendilerinin bilgilendirilmesini önemle rica ederiz.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611A49">
      <w:pPr>
        <w:ind w:right="1320"/>
        <w:jc w:val="both"/>
        <w:divId w:val="361053694"/>
        <w:rPr>
          <w:rFonts w:ascii="TurkmenAlfabe" w:hAnsi="TurkmenAlfabe"/>
          <w:b/>
          <w:bCs/>
          <w:sz w:val="26"/>
          <w:szCs w:val="26"/>
        </w:rPr>
      </w:pPr>
      <w:r>
        <w:rPr>
          <w:rFonts w:ascii="TurkmenAlfabe" w:hAnsi="TurkmenAlfabe"/>
          <w:b/>
          <w:bCs/>
          <w:sz w:val="26"/>
          <w:szCs w:val="26"/>
        </w:rPr>
        <w:t>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Hidayet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MANAVOĞLU    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  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İbrahim YÖNEL</w:t>
      </w:r>
    </w:p>
    <w:p w:rsidR="00000000" w:rsidRDefault="00611A49">
      <w:pPr>
        <w:ind w:right="1320"/>
        <w:jc w:val="both"/>
        <w:divId w:val="361053694"/>
      </w:pPr>
    </w:p>
    <w:p w:rsidR="00000000" w:rsidRDefault="00611A49">
      <w:pPr>
        <w:ind w:right="1320"/>
        <w:jc w:val="both"/>
        <w:divId w:val="361053694"/>
      </w:pPr>
      <w:r>
        <w:rPr>
          <w:rFonts w:ascii="TurkmenAlfabe" w:hAnsi="TurkmenAlfabe"/>
          <w:b/>
          <w:bCs/>
          <w:sz w:val="26"/>
          <w:szCs w:val="26"/>
        </w:rPr>
        <w:t>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GENEL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SEKRETER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            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BAŞKAN VEKİLİ</w:t>
      </w:r>
    </w:p>
    <w:p w:rsidR="00611A49" w:rsidRDefault="00611A49">
      <w:pPr>
        <w:ind w:right="1320"/>
        <w:jc w:val="both"/>
        <w:divId w:val="361053694"/>
      </w:pPr>
      <w:r>
        <w:t> </w:t>
      </w:r>
    </w:p>
    <w:sectPr w:rsidR="00611A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urkmenAlfab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Geneva"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20"/>
  <w:hyphenationZone w:val="425"/>
  <w:noPunctuationKerning/>
  <w:characterSpacingControl w:val="doNotCompress"/>
  <w:compat/>
  <w:rsids>
    <w:rsidRoot w:val="00893B07"/>
    <w:rsid w:val="00611A49"/>
    <w:rsid w:val="0089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" w:hAnsi="Times"/>
      <w:sz w:val="24"/>
      <w:szCs w:val="24"/>
    </w:rPr>
  </w:style>
  <w:style w:type="paragraph" w:styleId="Balk1">
    <w:name w:val="heading 1"/>
    <w:basedOn w:val="Normal"/>
    <w:link w:val="Balk1Char"/>
    <w:uiPriority w:val="9"/>
    <w:qFormat/>
    <w:pPr>
      <w:jc w:val="center"/>
      <w:outlineLvl w:val="0"/>
    </w:pPr>
    <w:rPr>
      <w:rFonts w:ascii="TurkmenAlfabe" w:eastAsiaTheme="minorEastAsia" w:hAnsi="TurkmenAlfabe"/>
      <w:kern w:val="36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pPr>
      <w:jc w:val="center"/>
      <w:outlineLvl w:val="1"/>
    </w:pPr>
    <w:rPr>
      <w:rFonts w:ascii="Arial" w:eastAsiaTheme="minorEastAsia" w:hAnsi="Arial" w:cs="Arial"/>
      <w:b/>
      <w:bCs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pPr>
      <w:outlineLvl w:val="2"/>
    </w:pPr>
    <w:rPr>
      <w:rFonts w:ascii="TurkmenAlfabe" w:eastAsiaTheme="minorEastAsia" w:hAnsi="TurkmenAlfabe"/>
      <w:b/>
      <w:bCs/>
      <w:sz w:val="26"/>
      <w:szCs w:val="26"/>
    </w:rPr>
  </w:style>
  <w:style w:type="paragraph" w:styleId="Balk4">
    <w:name w:val="heading 4"/>
    <w:basedOn w:val="Normal"/>
    <w:link w:val="Balk4Char"/>
    <w:uiPriority w:val="9"/>
    <w:qFormat/>
    <w:pPr>
      <w:ind w:left="2268" w:hanging="2410"/>
      <w:outlineLvl w:val="3"/>
    </w:pPr>
    <w:rPr>
      <w:rFonts w:ascii="TurkmenAlfabe" w:eastAsiaTheme="minorEastAsia" w:hAnsi="TurkmenAlfabe"/>
      <w:b/>
      <w:bCs/>
      <w:sz w:val="26"/>
      <w:szCs w:val="26"/>
    </w:rPr>
  </w:style>
  <w:style w:type="paragraph" w:styleId="Balk5">
    <w:name w:val="heading 5"/>
    <w:basedOn w:val="Normal"/>
    <w:next w:val="Normal"/>
    <w:link w:val="Balk5Char"/>
    <w:uiPriority w:val="9"/>
    <w:qFormat/>
    <w:pPr>
      <w:keepNext/>
      <w:ind w:right="1320"/>
      <w:jc w:val="both"/>
      <w:outlineLvl w:val="4"/>
    </w:pPr>
    <w:rPr>
      <w:rFonts w:ascii="TurkmenAlfabe" w:eastAsiaTheme="minorEastAsia" w:hAnsi="TurkmenAlfabe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Pr>
      <w:rFonts w:ascii="Times" w:hAnsi="Times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pPr>
      <w:tabs>
        <w:tab w:val="center" w:pos="4153"/>
        <w:tab w:val="right" w:pos="8306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Pr>
      <w:rFonts w:ascii="Times" w:hAnsi="Times"/>
      <w:sz w:val="24"/>
      <w:szCs w:val="24"/>
    </w:rPr>
  </w:style>
  <w:style w:type="paragraph" w:customStyle="1" w:styleId="msottle">
    <w:name w:val="msotıtle"/>
    <w:basedOn w:val="Normal"/>
    <w:pPr>
      <w:jc w:val="center"/>
    </w:pPr>
    <w:rPr>
      <w:rFonts w:ascii="TurkmenAlfabe" w:hAnsi="TurkmenAlfabe"/>
      <w:b/>
      <w:bCs/>
      <w:sz w:val="26"/>
      <w:szCs w:val="26"/>
    </w:rPr>
  </w:style>
  <w:style w:type="paragraph" w:styleId="GvdeMetni">
    <w:name w:val="Body Text"/>
    <w:basedOn w:val="Normal"/>
    <w:link w:val="GvdeMetniChar"/>
    <w:uiPriority w:val="99"/>
    <w:semiHidden/>
    <w:unhideWhenUsed/>
    <w:rPr>
      <w:rFonts w:ascii="TurkmenAlfabe" w:hAnsi="TurkmenAlfabe"/>
      <w:sz w:val="26"/>
      <w:szCs w:val="26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Pr>
      <w:rFonts w:ascii="Times" w:hAnsi="Times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pPr>
      <w:tabs>
        <w:tab w:val="left" w:pos="1985"/>
        <w:tab w:val="left" w:pos="2268"/>
      </w:tabs>
      <w:ind w:left="2268" w:hanging="2268"/>
    </w:pPr>
    <w:rPr>
      <w:rFonts w:ascii="TurkmenAlfabe" w:hAnsi="TurkmenAlfabe"/>
      <w:sz w:val="26"/>
      <w:szCs w:val="26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Pr>
      <w:rFonts w:ascii="Times" w:hAnsi="Times"/>
      <w:sz w:val="24"/>
      <w:szCs w:val="24"/>
    </w:rPr>
  </w:style>
  <w:style w:type="paragraph" w:styleId="GvdeMetni2">
    <w:name w:val="Body Text 2"/>
    <w:basedOn w:val="Normal"/>
    <w:link w:val="GvdeMetni2Char"/>
    <w:uiPriority w:val="99"/>
    <w:semiHidden/>
    <w:unhideWhenUsed/>
    <w:rPr>
      <w:rFonts w:ascii="TurkmenAlfabe" w:hAnsi="TurkmenAlfabe"/>
      <w:b/>
      <w:bCs/>
      <w:sz w:val="26"/>
      <w:szCs w:val="26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Pr>
      <w:rFonts w:ascii="Times" w:hAnsi="Times"/>
      <w:sz w:val="24"/>
      <w:szCs w:val="24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pPr>
      <w:ind w:left="5760"/>
    </w:pPr>
    <w:rPr>
      <w:rFonts w:ascii="TurkmenAlfabe" w:hAnsi="TurkmenAlfabe"/>
      <w:b/>
      <w:bCs/>
      <w:sz w:val="26"/>
      <w:szCs w:val="2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Pr>
      <w:rFonts w:ascii="Times" w:hAnsi="Times"/>
      <w:sz w:val="24"/>
      <w:szCs w:val="24"/>
    </w:rPr>
  </w:style>
  <w:style w:type="paragraph" w:styleId="bekMetni">
    <w:name w:val="Block Text"/>
    <w:basedOn w:val="Normal"/>
    <w:uiPriority w:val="99"/>
    <w:semiHidden/>
    <w:unhideWhenUsed/>
    <w:pPr>
      <w:ind w:left="-567" w:right="-766" w:firstLine="709"/>
      <w:jc w:val="both"/>
    </w:pPr>
    <w:rPr>
      <w:rFonts w:ascii="TurkmenAlfabe" w:hAnsi="TurkmenAlfabe"/>
    </w:rPr>
  </w:style>
  <w:style w:type="paragraph" w:styleId="BelgeBalantlar">
    <w:name w:val="Document Map"/>
    <w:basedOn w:val="Normal"/>
    <w:link w:val="BelgeBalantlarChar"/>
    <w:uiPriority w:val="99"/>
    <w:semiHidden/>
    <w:unhideWhenUsed/>
    <w:pPr>
      <w:shd w:val="clear" w:color="auto" w:fill="000080"/>
    </w:pPr>
    <w:rPr>
      <w:rFonts w:ascii="Geneva" w:hAnsi="Geneva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05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2111</Characters>
  <Application>Microsoft Office Word</Application>
  <DocSecurity>0</DocSecurity>
  <Lines>17</Lines>
  <Paragraphs>4</Paragraphs>
  <ScaleCrop>false</ScaleCrop>
  <Company>TOSHIBA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: 1602</dc:title>
  <dc:creator>naci özdemir</dc:creator>
  <cp:lastModifiedBy>naci özdemir</cp:lastModifiedBy>
  <cp:revision>2</cp:revision>
  <dcterms:created xsi:type="dcterms:W3CDTF">2010-05-24T11:19:00Z</dcterms:created>
  <dcterms:modified xsi:type="dcterms:W3CDTF">2010-05-24T11:19:00Z</dcterms:modified>
</cp:coreProperties>
</file>