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Tarih: 05/01/2005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Sayı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:15    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Konu: Yeni Türk Lirası Kullanımı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center"/>
        <w:divId w:val="1120340743"/>
        <w:rPr>
          <w:color w:val="FF0000"/>
        </w:rPr>
      </w:pPr>
      <w:r>
        <w:rPr>
          <w:rFonts w:ascii="TurkmenAlfabe" w:hAnsi="TurkmenAlfabe"/>
          <w:b/>
          <w:bCs/>
          <w:color w:val="FF0000"/>
          <w:sz w:val="26"/>
          <w:szCs w:val="26"/>
        </w:rPr>
        <w:t>FEDERASYONA BAĞLI ODALARA</w:t>
      </w:r>
    </w:p>
    <w:p w:rsidR="00000000" w:rsidRDefault="00F7525A">
      <w:pPr>
        <w:ind w:right="1320"/>
        <w:jc w:val="center"/>
        <w:divId w:val="1120340743"/>
        <w:rPr>
          <w:color w:val="FF0000"/>
        </w:rPr>
      </w:pPr>
      <w:r>
        <w:rPr>
          <w:rFonts w:ascii="TurkmenAlfabe" w:hAnsi="TurkmenAlfabe"/>
          <w:b/>
          <w:bCs/>
          <w:color w:val="FF0000"/>
          <w:sz w:val="26"/>
          <w:szCs w:val="26"/>
        </w:rPr>
        <w:t>219 NOLU GENELGE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 xml:space="preserve">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01Ocak 2005 tarihinden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itibaren tedavüle giren para birimimiz Yeni Türk Lirası kullanımı ile ilgili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olarak Türkiye Esnaf ve Sanatkarları Konfederasyonu’nun Federasyonumuza gönderdiği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30/12/2004 tarih ve 82 sayılı genelgeleri ve ekleri ilişikte gönderilmektedir.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 xml:space="preserve">Bilgilerinizi </w:t>
      </w:r>
      <w:r>
        <w:rPr>
          <w:rFonts w:ascii="TurkmenAlfabe" w:hAnsi="TurkmenAlfabe"/>
          <w:b/>
          <w:bCs/>
          <w:sz w:val="26"/>
          <w:szCs w:val="26"/>
        </w:rPr>
        <w:t>ve gereğini rica eder, çalışmalarınızda başarılar dileriz.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  <w:rPr>
          <w:rFonts w:ascii="TurkmenAlfabe" w:hAnsi="TurkmenAlfabe"/>
          <w:b/>
          <w:bCs/>
          <w:sz w:val="26"/>
          <w:szCs w:val="26"/>
        </w:rPr>
      </w:pPr>
      <w:r>
        <w:rPr>
          <w:rFonts w:ascii="TurkmenAlfabe" w:hAnsi="TurkmenAlfabe"/>
          <w:b/>
          <w:bCs/>
          <w:sz w:val="26"/>
          <w:szCs w:val="26"/>
        </w:rPr>
        <w:t xml:space="preserve">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Hidayet MANAVOĞLU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                       İbrahim YÖNEL</w:t>
      </w:r>
    </w:p>
    <w:p w:rsidR="00000000" w:rsidRDefault="00F7525A">
      <w:pPr>
        <w:ind w:right="1320"/>
        <w:jc w:val="both"/>
        <w:divId w:val="1120340743"/>
      </w:pP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 xml:space="preserve">  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GENEL SEKRETER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                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BAŞKAN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VEKİLİ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  <w:rPr>
          <w:color w:val="FF0000"/>
        </w:rPr>
      </w:pPr>
      <w:r>
        <w:rPr>
          <w:rFonts w:ascii="TurkmenAlfabe" w:hAnsi="TurkmenAlfabe"/>
          <w:b/>
          <w:bCs/>
          <w:color w:val="FF0000"/>
          <w:sz w:val="26"/>
          <w:szCs w:val="26"/>
        </w:rPr>
        <w:t>E K L E R İ :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TESK.Genelgesi ve ekleri (</w:t>
      </w:r>
      <w:r>
        <w:rPr>
          <w:rFonts w:ascii="TurkmenAlfabe" w:hAnsi="TurkmenAlfabe"/>
          <w:b/>
          <w:bCs/>
          <w:sz w:val="26"/>
          <w:szCs w:val="26"/>
        </w:rPr>
        <w:t>3 Sayfa)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F7525A">
      <w:pPr>
        <w:ind w:right="1320"/>
        <w:jc w:val="both"/>
        <w:divId w:val="1120340743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F7525A" w:rsidRDefault="00F7525A">
      <w:pPr>
        <w:ind w:right="1320"/>
        <w:jc w:val="both"/>
        <w:divId w:val="1120340743"/>
      </w:pPr>
      <w:r>
        <w:t> </w:t>
      </w:r>
    </w:p>
    <w:sectPr w:rsidR="00F752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urkmenAlfab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Geneva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hyphenationZone w:val="425"/>
  <w:noPunctuationKerning/>
  <w:characterSpacingControl w:val="doNotCompress"/>
  <w:compat/>
  <w:rsids>
    <w:rsidRoot w:val="00A86806"/>
    <w:rsid w:val="00A86806"/>
    <w:rsid w:val="00F7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hAnsi="Times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jc w:val="center"/>
      <w:outlineLvl w:val="0"/>
    </w:pPr>
    <w:rPr>
      <w:rFonts w:ascii="TurkmenAlfabe" w:eastAsiaTheme="minorEastAsia" w:hAnsi="TurkmenAlfabe"/>
      <w:kern w:val="36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pPr>
      <w:jc w:val="center"/>
      <w:outlineLvl w:val="1"/>
    </w:pPr>
    <w:rPr>
      <w:rFonts w:ascii="Arial" w:eastAsiaTheme="minorEastAsia" w:hAnsi="Arial" w:cs="Arial"/>
      <w:b/>
      <w:bCs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pPr>
      <w:outlineLvl w:val="2"/>
    </w:pPr>
    <w:rPr>
      <w:rFonts w:ascii="TurkmenAlfabe" w:eastAsiaTheme="minorEastAsia" w:hAnsi="TurkmenAlfabe"/>
      <w:b/>
      <w:bCs/>
      <w:sz w:val="26"/>
      <w:szCs w:val="26"/>
    </w:rPr>
  </w:style>
  <w:style w:type="paragraph" w:styleId="Balk4">
    <w:name w:val="heading 4"/>
    <w:basedOn w:val="Normal"/>
    <w:link w:val="Balk4Char"/>
    <w:uiPriority w:val="9"/>
    <w:qFormat/>
    <w:pPr>
      <w:ind w:left="2268" w:hanging="2410"/>
      <w:outlineLvl w:val="3"/>
    </w:pPr>
    <w:rPr>
      <w:rFonts w:ascii="TurkmenAlfabe" w:eastAsiaTheme="minorEastAsia" w:hAnsi="TurkmenAlfabe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Pr>
      <w:rFonts w:ascii="Times" w:hAnsi="Times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Pr>
      <w:rFonts w:ascii="Times" w:hAnsi="Times"/>
      <w:sz w:val="24"/>
      <w:szCs w:val="24"/>
    </w:rPr>
  </w:style>
  <w:style w:type="paragraph" w:customStyle="1" w:styleId="msottle">
    <w:name w:val="msotıtle"/>
    <w:basedOn w:val="Normal"/>
    <w:pPr>
      <w:jc w:val="center"/>
    </w:pPr>
    <w:rPr>
      <w:rFonts w:ascii="TurkmenAlfabe" w:hAnsi="TurkmenAlfabe"/>
      <w:b/>
      <w:bCs/>
      <w:sz w:val="26"/>
      <w:szCs w:val="26"/>
    </w:rPr>
  </w:style>
  <w:style w:type="paragraph" w:styleId="GvdeMetni">
    <w:name w:val="Body Text"/>
    <w:basedOn w:val="Normal"/>
    <w:link w:val="GvdeMetniChar"/>
    <w:uiPriority w:val="99"/>
    <w:semiHidden/>
    <w:unhideWhenUsed/>
    <w:rPr>
      <w:rFonts w:ascii="TurkmenAlfabe" w:hAnsi="TurkmenAlfabe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Pr>
      <w:rFonts w:ascii="Times" w:hAnsi="Times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pPr>
      <w:tabs>
        <w:tab w:val="left" w:pos="1985"/>
        <w:tab w:val="left" w:pos="2268"/>
      </w:tabs>
      <w:ind w:left="2268" w:hanging="2268"/>
    </w:pPr>
    <w:rPr>
      <w:rFonts w:ascii="TurkmenAlfabe" w:hAnsi="TurkmenAlfabe"/>
      <w:sz w:val="26"/>
      <w:szCs w:val="26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Pr>
      <w:rFonts w:ascii="Times" w:hAnsi="Times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Pr>
      <w:rFonts w:ascii="TurkmenAlfabe" w:hAnsi="TurkmenAlfabe"/>
      <w:b/>
      <w:bCs/>
      <w:sz w:val="26"/>
      <w:szCs w:val="26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Pr>
      <w:rFonts w:ascii="Times" w:hAnsi="Times"/>
      <w:sz w:val="24"/>
      <w:szCs w:val="24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pPr>
      <w:ind w:left="5760"/>
    </w:pPr>
    <w:rPr>
      <w:rFonts w:ascii="TurkmenAlfabe" w:hAnsi="TurkmenAlfabe"/>
      <w:b/>
      <w:bCs/>
      <w:sz w:val="26"/>
      <w:szCs w:val="2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Pr>
      <w:rFonts w:ascii="Times" w:hAnsi="Times"/>
      <w:sz w:val="24"/>
      <w:szCs w:val="24"/>
    </w:rPr>
  </w:style>
  <w:style w:type="paragraph" w:styleId="bekMetni">
    <w:name w:val="Block Text"/>
    <w:basedOn w:val="Normal"/>
    <w:uiPriority w:val="99"/>
    <w:semiHidden/>
    <w:unhideWhenUsed/>
    <w:pPr>
      <w:ind w:left="-567" w:right="-766" w:firstLine="709"/>
      <w:jc w:val="both"/>
    </w:pPr>
    <w:rPr>
      <w:rFonts w:ascii="TurkmenAlfabe" w:hAnsi="TurkmenAlfabe"/>
    </w:rPr>
  </w:style>
  <w:style w:type="paragraph" w:styleId="BelgeBalantlar">
    <w:name w:val="Document Map"/>
    <w:basedOn w:val="Normal"/>
    <w:link w:val="BelgeBalantlarChar"/>
    <w:uiPriority w:val="99"/>
    <w:semiHidden/>
    <w:unhideWhenUsed/>
    <w:pPr>
      <w:shd w:val="clear" w:color="auto" w:fill="000080"/>
    </w:pPr>
    <w:rPr>
      <w:rFonts w:ascii="Geneva" w:hAnsi="Geneva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4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Company>TOSHIBA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1602</dc:title>
  <dc:creator>naci özdemir</dc:creator>
  <cp:lastModifiedBy>naci özdemir</cp:lastModifiedBy>
  <cp:revision>2</cp:revision>
  <dcterms:created xsi:type="dcterms:W3CDTF">2010-05-24T11:19:00Z</dcterms:created>
  <dcterms:modified xsi:type="dcterms:W3CDTF">2010-05-24T11:19:00Z</dcterms:modified>
</cp:coreProperties>
</file>